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 w:tblpY="630"/>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2598"/>
      </w:tblGrid>
      <w:tr w:rsidR="006C07A7" w:rsidTr="007A5E1A">
        <w:trPr>
          <w:trHeight w:hRule="exact" w:val="2920"/>
        </w:trPr>
        <w:tc>
          <w:tcPr>
            <w:tcW w:w="6492" w:type="dxa"/>
            <w:shd w:val="clear" w:color="auto" w:fill="auto"/>
            <w:tcMar>
              <w:left w:w="113" w:type="dxa"/>
              <w:right w:w="0" w:type="dxa"/>
            </w:tcMar>
          </w:tcPr>
          <w:p w:rsidR="006C07A7" w:rsidRPr="00A22EA2" w:rsidRDefault="006C07A7" w:rsidP="007A5E1A">
            <w:pPr>
              <w:pStyle w:val="Cadentdetails"/>
              <w:framePr w:hSpace="0" w:wrap="auto" w:vAnchor="margin" w:hAnchor="text" w:xAlign="left" w:yAlign="inline"/>
              <w:rPr>
                <w:b/>
              </w:rPr>
            </w:pPr>
            <w:r w:rsidRPr="00A22EA2">
              <w:rPr>
                <w:b/>
              </w:rPr>
              <w:t>Reference</w:t>
            </w:r>
          </w:p>
          <w:p w:rsidR="006C07A7" w:rsidRPr="009145B4" w:rsidRDefault="006C07A7" w:rsidP="007A5E1A">
            <w:pPr>
              <w:pStyle w:val="Cadentdetails"/>
              <w:framePr w:hSpace="0" w:wrap="auto" w:vAnchor="margin" w:hAnchor="text" w:xAlign="left" w:yAlign="inline"/>
            </w:pPr>
            <w:r>
              <w:rPr>
                <w:b/>
                <w:bCs/>
              </w:rPr>
              <w:t>IMGA212307</w:t>
            </w:r>
          </w:p>
          <w:p w:rsidR="006C07A7" w:rsidRDefault="006C07A7" w:rsidP="007A5E1A">
            <w:pPr>
              <w:pStyle w:val="Cadentdetails"/>
              <w:framePr w:hSpace="0" w:wrap="auto" w:vAnchor="margin" w:hAnchor="text" w:xAlign="left" w:yAlign="inline"/>
            </w:pPr>
          </w:p>
          <w:p w:rsidR="006C07A7" w:rsidRDefault="006C07A7" w:rsidP="007A5E1A">
            <w:pPr>
              <w:pStyle w:val="Cadentdetails"/>
              <w:framePr w:hSpace="0" w:wrap="auto" w:vAnchor="margin" w:hAnchor="text" w:xAlign="left" w:yAlign="inline"/>
            </w:pPr>
          </w:p>
          <w:p w:rsidR="006C07A7" w:rsidRDefault="006C07A7" w:rsidP="007A5E1A">
            <w:pPr>
              <w:pStyle w:val="Cadentdetails"/>
              <w:framePr w:hSpace="0" w:wrap="auto" w:vAnchor="margin" w:hAnchor="text" w:xAlign="left" w:yAlign="inline"/>
              <w:rPr>
                <w:b/>
              </w:rPr>
            </w:pPr>
            <w:r w:rsidRPr="00A22EA2">
              <w:rPr>
                <w:b/>
              </w:rPr>
              <w:t>Date</w:t>
            </w:r>
          </w:p>
          <w:p w:rsidR="006C07A7" w:rsidRPr="00A22EA2" w:rsidRDefault="00CF6AF1" w:rsidP="007A5E1A">
            <w:pPr>
              <w:pStyle w:val="Cadentdetails"/>
              <w:framePr w:hSpace="0" w:wrap="auto" w:vAnchor="margin" w:hAnchor="text" w:xAlign="left" w:yAlign="inline"/>
              <w:rPr>
                <w:b/>
              </w:rPr>
            </w:pPr>
            <w:r>
              <w:rPr>
                <w:b/>
              </w:rPr>
              <w:t>10/12/19</w:t>
            </w:r>
            <w:bookmarkStart w:id="0" w:name="_GoBack"/>
            <w:bookmarkEnd w:id="0"/>
          </w:p>
          <w:p w:rsidR="006C07A7" w:rsidRPr="005200FE" w:rsidRDefault="006C07A7" w:rsidP="007A5E1A">
            <w:pPr>
              <w:pStyle w:val="Cadentdetails"/>
              <w:framePr w:hSpace="0" w:wrap="auto" w:vAnchor="margin" w:hAnchor="text" w:xAlign="left" w:yAlign="inline"/>
            </w:pPr>
          </w:p>
        </w:tc>
        <w:tc>
          <w:tcPr>
            <w:tcW w:w="2598" w:type="dxa"/>
            <w:shd w:val="clear" w:color="auto" w:fill="auto"/>
            <w:tcMar>
              <w:left w:w="0" w:type="dxa"/>
              <w:right w:w="0" w:type="dxa"/>
            </w:tcMar>
          </w:tcPr>
          <w:p w:rsidR="006C07A7" w:rsidRPr="00A22EA2" w:rsidRDefault="006C07A7" w:rsidP="007A5E1A">
            <w:pPr>
              <w:pStyle w:val="Cadentdetails"/>
              <w:framePr w:hSpace="0" w:wrap="auto" w:vAnchor="margin" w:hAnchor="text" w:xAlign="left" w:yAlign="inline"/>
              <w:rPr>
                <w:b/>
              </w:rPr>
            </w:pPr>
            <w:r w:rsidRPr="00A22EA2">
              <w:rPr>
                <w:b/>
              </w:rPr>
              <w:t>Cadent Gas Limited</w:t>
            </w:r>
          </w:p>
          <w:p w:rsidR="006C07A7" w:rsidRDefault="006C07A7" w:rsidP="007A5E1A">
            <w:pPr>
              <w:pStyle w:val="Cadentdetails"/>
              <w:framePr w:hSpace="0" w:wrap="auto" w:vAnchor="margin" w:hAnchor="text" w:xAlign="left" w:yAlign="inline"/>
            </w:pPr>
            <w:r>
              <w:t xml:space="preserve">Cadent </w:t>
            </w:r>
          </w:p>
          <w:p w:rsidR="006C07A7" w:rsidRDefault="006C07A7" w:rsidP="007A5E1A">
            <w:pPr>
              <w:pStyle w:val="Cadentdetails"/>
              <w:framePr w:hSpace="0" w:wrap="auto" w:vAnchor="margin" w:hAnchor="text" w:xAlign="left" w:yAlign="inline"/>
            </w:pPr>
            <w:r>
              <w:t>Uxbridge Road</w:t>
            </w:r>
          </w:p>
          <w:p w:rsidR="006C07A7" w:rsidRDefault="006C07A7" w:rsidP="007A5E1A">
            <w:pPr>
              <w:pStyle w:val="Cadentdetails"/>
              <w:framePr w:hSpace="0" w:wrap="auto" w:vAnchor="margin" w:hAnchor="text" w:xAlign="left" w:yAlign="inline"/>
            </w:pPr>
            <w:r>
              <w:t>SL2 5NA</w:t>
            </w:r>
          </w:p>
          <w:p w:rsidR="006C07A7" w:rsidRPr="005200FE" w:rsidRDefault="006C07A7" w:rsidP="007A5E1A">
            <w:pPr>
              <w:pStyle w:val="Cadentdetails"/>
              <w:framePr w:hSpace="0" w:wrap="auto" w:vAnchor="margin" w:hAnchor="text" w:xAlign="left" w:yAlign="inline"/>
            </w:pPr>
            <w:r w:rsidRPr="005200FE">
              <w:rPr>
                <w:color w:val="E7E6E6" w:themeColor="background2"/>
              </w:rPr>
              <w:t>cadentgas.com</w:t>
            </w:r>
          </w:p>
        </w:tc>
      </w:tr>
      <w:tr w:rsidR="006C07A7" w:rsidTr="007A5E1A">
        <w:trPr>
          <w:trHeight w:hRule="exact" w:val="2608"/>
        </w:trPr>
        <w:tc>
          <w:tcPr>
            <w:tcW w:w="6492" w:type="dxa"/>
            <w:shd w:val="clear" w:color="auto" w:fill="auto"/>
            <w:tcMar>
              <w:left w:w="113" w:type="dxa"/>
              <w:right w:w="0" w:type="dxa"/>
            </w:tcMar>
          </w:tcPr>
          <w:p w:rsidR="006C07A7" w:rsidRPr="00A01AB5" w:rsidRDefault="006C07A7" w:rsidP="007A5E1A">
            <w:pPr>
              <w:pStyle w:val="Recipientaddress"/>
              <w:framePr w:hSpace="0" w:wrap="auto" w:vAnchor="margin" w:hAnchor="text" w:xAlign="left" w:yAlign="inline"/>
              <w:ind w:left="142" w:hanging="142"/>
            </w:pPr>
          </w:p>
        </w:tc>
        <w:tc>
          <w:tcPr>
            <w:tcW w:w="2598" w:type="dxa"/>
            <w:shd w:val="clear" w:color="auto" w:fill="auto"/>
            <w:tcMar>
              <w:left w:w="0" w:type="dxa"/>
              <w:right w:w="0" w:type="dxa"/>
            </w:tcMar>
          </w:tcPr>
          <w:p w:rsidR="006C07A7" w:rsidRDefault="006C07A7" w:rsidP="007A5E1A">
            <w:r w:rsidRPr="00342B8B">
              <w:rPr>
                <w:noProof/>
              </w:rPr>
              <w:drawing>
                <wp:inline distT="0" distB="0" distL="0" distR="0" wp14:anchorId="40C91ADD" wp14:editId="7E186F24">
                  <wp:extent cx="1440000" cy="583200"/>
                  <wp:effectExtent l="0" t="0" r="8255"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000" cy="583200"/>
                          </a:xfrm>
                          <a:prstGeom prst="rect">
                            <a:avLst/>
                          </a:prstGeom>
                          <a:noFill/>
                          <a:ln>
                            <a:noFill/>
                          </a:ln>
                        </pic:spPr>
                      </pic:pic>
                    </a:graphicData>
                  </a:graphic>
                </wp:inline>
              </w:drawing>
            </w:r>
          </w:p>
        </w:tc>
      </w:tr>
    </w:tbl>
    <w:p w:rsidR="006C07A7" w:rsidRPr="00A22EA2" w:rsidRDefault="006C07A7" w:rsidP="006C07A7">
      <w:pPr>
        <w:pStyle w:val="Bodycopy"/>
      </w:pPr>
      <w:r>
        <w:t>Dear customer</w:t>
      </w:r>
      <w:r w:rsidR="00CE1548">
        <w:t>,</w:t>
      </w:r>
    </w:p>
    <w:p w:rsidR="006C07A7" w:rsidRDefault="006C07A7" w:rsidP="006C07A7">
      <w:pPr>
        <w:pStyle w:val="Bodycopy"/>
      </w:pPr>
      <w:r>
        <w:t xml:space="preserve">I am writing to inform you of some upcoming essential gas mains replacement works on the High Street in Eton which will start on 03/02/20, the estimated duration for these works is around 20-22 weeks, these works will be split into Phase 1 and Phase 2. </w:t>
      </w:r>
    </w:p>
    <w:p w:rsidR="006C07A7" w:rsidRDefault="00CF6AF1" w:rsidP="006C07A7">
      <w:pPr>
        <w:pStyle w:val="Bodycopy"/>
      </w:pPr>
      <w:r>
        <w:t xml:space="preserve">In </w:t>
      </w:r>
      <w:r w:rsidR="006C07A7">
        <w:t xml:space="preserve">order to carry out these works on phase 1 we will be putting a road closure in place between the junction of Eton Court to Windsor and Eton Bridge. </w:t>
      </w:r>
      <w:r w:rsidR="006C07A7" w:rsidRPr="00557A05">
        <w:t>The es</w:t>
      </w:r>
      <w:r w:rsidR="006C07A7">
        <w:t>timated duration for P</w:t>
      </w:r>
      <w:r w:rsidR="006C07A7" w:rsidRPr="00557A05">
        <w:t>hase 1 is around 10-12 weeks</w:t>
      </w:r>
      <w:r w:rsidR="006C07A7">
        <w:t xml:space="preserve"> starting from 03/02/2020</w:t>
      </w:r>
      <w:r w:rsidR="006C07A7" w:rsidRPr="00557A05">
        <w:t xml:space="preserve">. </w:t>
      </w:r>
      <w:r w:rsidR="006C07A7">
        <w:t>During this phase, residents will be able to gain access to their property, however between working hours of 08:30 – 17:30 temporary holds and restrictions might be in place to facilitate the works. We would kindly ask that during the working hours’ vehicle movements are limited to help protect our workforce and ensure speedy progression. Access for emergency vehicles will be provided at all times.</w:t>
      </w:r>
    </w:p>
    <w:p w:rsidR="006C07A7" w:rsidRDefault="006C07A7" w:rsidP="006C07A7">
      <w:pPr>
        <w:pStyle w:val="Bodycopy"/>
      </w:pPr>
      <w:r>
        <w:t>Once Phase 1 is complete we will be moving onto phase 2, in order to complete our works, we will use 2-way temporary traffic lights in place from the junction of Eton Court up to 1 High Street. The estimated duration for Phase 2 is around 8-10 weeks and will start from around 13/04/20 depending on the progression of phase 1</w:t>
      </w:r>
      <w:r w:rsidR="00CE1548">
        <w:t>.</w:t>
      </w:r>
    </w:p>
    <w:p w:rsidR="006C07A7" w:rsidRDefault="006C07A7" w:rsidP="006C07A7">
      <w:pPr>
        <w:pStyle w:val="Bodycopy"/>
      </w:pPr>
      <w:r>
        <w:t>It is worth noting that the pedestrian access will not be effected during both phases and we will be working closely with the local residents, businesses and authority during this project in order to minimise the impact to this area.</w:t>
      </w:r>
    </w:p>
    <w:p w:rsidR="006C07A7" w:rsidRPr="00CE1548" w:rsidRDefault="006C07A7" w:rsidP="006C07A7">
      <w:pPr>
        <w:pStyle w:val="Bodycopy"/>
        <w:rPr>
          <w:b/>
        </w:rPr>
      </w:pPr>
      <w:r w:rsidRPr="00CE1548">
        <w:rPr>
          <w:b/>
        </w:rPr>
        <w:t>We will be holding a Drop in session on the 16/01/2020 from 18:00 to 20:00 at the Eton Parish Council building to answer any further queries you might have.</w:t>
      </w:r>
    </w:p>
    <w:p w:rsidR="006C07A7" w:rsidRDefault="006C07A7" w:rsidP="006C07A7">
      <w:pPr>
        <w:pStyle w:val="Bodycopy"/>
      </w:pPr>
      <w:r>
        <w:t>Should you have any further questions feel free to contact our enquiries team on 0800 151 2404 and quote the reference number on the header</w:t>
      </w:r>
      <w:r w:rsidR="00CE1548">
        <w:t>.</w:t>
      </w:r>
    </w:p>
    <w:p w:rsidR="006C07A7" w:rsidRDefault="006C07A7" w:rsidP="006C07A7">
      <w:pPr>
        <w:pStyle w:val="Bodycopy"/>
      </w:pPr>
      <w:r>
        <w:t>We appreciate your patience and support with these essential works.</w:t>
      </w:r>
    </w:p>
    <w:p w:rsidR="00A91AA5" w:rsidRDefault="00A91AA5"/>
    <w:sectPr w:rsidR="00A91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A7"/>
    <w:rsid w:val="006C07A7"/>
    <w:rsid w:val="00A91AA5"/>
    <w:rsid w:val="00CE1548"/>
    <w:rsid w:val="00C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1E31"/>
  <w15:chartTrackingRefBased/>
  <w15:docId w15:val="{096ED6EF-62A1-4D91-90A9-17E43E4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7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C07A7"/>
    <w:pPr>
      <w:spacing w:after="240" w:line="240" w:lineRule="exact"/>
    </w:pPr>
    <w:rPr>
      <w:rFonts w:asciiTheme="minorHAnsi" w:hAnsiTheme="minorHAnsi" w:cstheme="minorHAnsi"/>
      <w:sz w:val="18"/>
      <w:szCs w:val="18"/>
    </w:rPr>
  </w:style>
  <w:style w:type="paragraph" w:customStyle="1" w:styleId="Recipientaddress">
    <w:name w:val="Recipient address"/>
    <w:basedOn w:val="Normal"/>
    <w:qFormat/>
    <w:rsid w:val="006C07A7"/>
    <w:pPr>
      <w:framePr w:hSpace="180" w:wrap="around" w:vAnchor="page" w:hAnchor="margin" w:x="-103" w:y="630"/>
      <w:spacing w:line="240" w:lineRule="exact"/>
    </w:pPr>
    <w:rPr>
      <w:rFonts w:ascii="Arial" w:hAnsi="Arial" w:cs="Arial"/>
      <w:sz w:val="18"/>
    </w:rPr>
  </w:style>
  <w:style w:type="paragraph" w:customStyle="1" w:styleId="Cadentdetails">
    <w:name w:val="Cadent details"/>
    <w:basedOn w:val="Normal"/>
    <w:qFormat/>
    <w:rsid w:val="006C07A7"/>
    <w:pPr>
      <w:framePr w:hSpace="180" w:wrap="around" w:vAnchor="page" w:hAnchor="margin" w:x="-103" w:y="630"/>
      <w:spacing w:line="240" w:lineRule="exact"/>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Morrison Utility Services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Penny</dc:creator>
  <cp:keywords/>
  <dc:description/>
  <cp:lastModifiedBy>Richard Penny</cp:lastModifiedBy>
  <cp:revision>3</cp:revision>
  <dcterms:created xsi:type="dcterms:W3CDTF">2019-12-04T11:41:00Z</dcterms:created>
  <dcterms:modified xsi:type="dcterms:W3CDTF">2019-12-11T21:00:00Z</dcterms:modified>
</cp:coreProperties>
</file>